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26-375</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601</w:t>
      </w:r>
    </w:p>
    <w:p>
      <w:pPr>
        <w:spacing w:before="0" w:after="0" w:line="480"/>
        <w:ind w:left="120"/>
        <w:jc w:val="center"/>
      </w:pPr>
      <w:r>
        <w:rPr>
          <w:rFonts w:ascii="Times New Roman" w:hAnsi="Times New Roman"/>
          <w:b w:val="false"/>
          <w:i w:val="false"/>
          <w:color w:val="000000"/>
          <w:sz w:val="24"/>
        </w:rPr>
        <w:t>“Filing Returns”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422.62, 422.63, and 422.66</w:t>
      </w:r>
    </w:p>
    <w:p>
      <w:pPr>
        <w:spacing w:before="0" w:after="0" w:line="480"/>
        <w:ind w:left="120"/>
        <w:jc w:val="both"/>
      </w:pPr>
      <w:r>
        <w:rPr>
          <w:rFonts w:ascii="Times New Roman" w:hAnsi="Times New Roman"/>
          <w:b w:val="false"/>
          <w:i w:val="false"/>
          <w:color w:val="000000"/>
          <w:sz w:val="24"/>
        </w:rPr>
        <w:t>State or federal law(s) implemented by the rulemaking: Iowa Code sections 422.24, 422.60, 422.61, 422.62, 422.66, and 422.73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Benjamin Clough</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515.587.0662</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ben.clough@iowa.gov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readopt Chapter 601. Chapter 601 provides the rules pertaining to the filing requirements of franchise tax. These rules are intended to help taxpayers comply and members of the public understand who must file franchise tax returns. Chapter 601 contains rules the Department has determined are either unnecessary, obsolete, or duplicative of statutory language and could be rescinded. The Department determined that some rules were duplicative of existing statutory language, and that some of the chapters governing separate areas of income tax were duplicative of each other, and could be combined into one uniform chapter for the administration of all income tax types under 701—Chapter 300.</w:t>
      </w:r>
    </w:p>
    <w:p>
      <w:pPr>
        <w:spacing w:before="0" w:after="0" w:line="480"/>
        <w:ind w:left="120"/>
        <w:jc w:val="both"/>
      </w:pPr>
      <w:r>
        <w:rPr>
          <w:rFonts w:ascii="Times New Roman" w:hAnsi="Times New Roman"/>
          <w:b w:val="false"/>
          <w:i w:val="false"/>
          <w:color w:val="000000"/>
          <w:sz w:val="24"/>
        </w:rPr>
        <w:t>    The Department proposes updates to these rules in order to provide better organization and clarification and to remove unnecessary, obsolete, and duplicative statutory language. The Department has also determined the rules in this chapter that aid the public in understanding the qualifications and process in order to claim tax credits against franchise tax to be useful and will be proposed under 701—Chapter 800.</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to the proposed rulemaking beyond those that are imposed by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will benefit from the proposed rulemaking because updating the rules on the administration of franchise tax provides easier accessibility to those rules and reduces confusion related to franchise tax.</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significant quantitative impacts known to be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will reduce uncertainty about which administrative rules apply to franchise tax because the rules will all be amended to include only those rules necessary for such administration not found in the Iowa Code.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to implement the proposed rulemaking beyond what would otherwise be required to administer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 although the revision of repromulgated rules and the elimination of rules that are no longer necessary or are obsolete will provide clarity to the public.</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to retaining the rules, subrules, and other language changed or rescinded under this chapter. Not updating the rules in the proposed rulemaking would lead to confusion and frustration. The benefits to the proposed rulemaking are to eliminate unnecessary and obsolete language and rules and to make it easier for taxpayers to navigate administrative rules generally.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methods have been identified.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rescinding all of the rules in this chapter but determined that the proposed rulemaking was necessary to provide guidance and clarification to the public beyond what is provided in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Department determined that retention of rules in the proposed rulemaking with the proposed updates will reduce confusion about the subjects of those rules. Proceeding without these rules could negatively impact the public by complicating good-faith taxpayers’ ability to comply with Iowa tax law in a proper and timely manner.</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and does not impose any additional requirements on businesses other than what is imposed by the underlying statutes.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601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601</w:t>
      </w:r>
    </w:p>
    <w:p>
      <w:pPr>
        <w:spacing w:before="0" w:after="0" w:line="480"/>
        <w:ind w:left="120"/>
        <w:jc w:val="center"/>
      </w:pPr>
      <w:r>
        <w:rPr>
          <w:rFonts w:ascii="Times New Roman" w:hAnsi="Times New Roman"/>
          <w:b w:val="false"/>
          <w:i w:val="false"/>
          <w:color w:val="000000"/>
          <w:sz w:val="21"/>
        </w:rPr>
        <w:t>FILING RETURNS</w:t>
      </w:r>
    </w:p>
    <w:p>
      <w:pPr>
        <w:spacing w:before="0" w:after="0" w:line="480"/>
        <w:ind w:left="120"/>
        <w:jc w:val="both"/>
      </w:pPr>
      <w:r>
        <w:rPr>
          <w:rFonts w:ascii="Times New Roman" w:hAnsi="Times New Roman"/>
          <w:b/>
          <w:i w:val="false"/>
          <w:color w:val="000000"/>
          <w:sz w:val="24"/>
        </w:rPr>
        <w:t>701—601.1</w:t>
      </w:r>
      <w:r>
        <w:rPr>
          <w:rFonts w:ascii="Times New Roman" w:hAnsi="Times New Roman"/>
          <w:b/>
          <w:i w:val="false"/>
          <w:color w:val="000000"/>
          <w:sz w:val="24"/>
        </w:rPr>
        <w:t xml:space="preserve">(422) </w:t>
      </w:r>
      <w:r>
        <w:rPr>
          <w:rFonts w:ascii="Times New Roman" w:hAnsi="Times New Roman"/>
          <w:b/>
          <w:i w:val="false"/>
          <w:color w:val="000000"/>
          <w:sz w:val="24"/>
        </w:rPr>
        <w:t xml:space="preserve">Who must file. </w:t>
      </w:r>
      <w:r>
        <w:rPr>
          <w:rFonts w:ascii="Times New Roman" w:hAnsi="Times New Roman"/>
          <w:b w:val="false"/>
          <w:i w:val="false"/>
          <w:color w:val="000000"/>
          <w:sz w:val="24"/>
        </w:rPr>
        <w:t xml:space="preserve">Every financial institution as defined in Iowa Code section </w:t>
      </w:r>
      <w:hyperlink r:id="rId6">
        <w:r>
          <w:rPr>
            <w:rStyle w:val="Hyperlink"/>
            <w:rFonts w:ascii="Times New Roman" w:hAnsi="Times New Roman"/>
            <w:b w:val="false"/>
            <w:i w:val="false"/>
            <w:color w:val="000000"/>
            <w:sz w:val="24"/>
          </w:rPr>
          <w:t>422.61</w:t>
        </w:r>
      </w:hyperlink>
      <w:r>
        <w:rPr>
          <w:rFonts w:ascii="Times New Roman" w:hAnsi="Times New Roman"/>
          <w:b w:val="false"/>
          <w:i w:val="false"/>
          <w:color w:val="000000"/>
          <w:sz w:val="24"/>
        </w:rPr>
        <w:t>, regardless of net income, shall file a complete return of its income or loss for the taxable period. The return shall be signed by the president or other duly authorized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601.1(1)</w:t>
      </w:r>
      <w:r>
        <w:rPr>
          <w:rFonts w:ascii="Times New Roman" w:hAnsi="Times New Roman"/>
          <w:b w:val="false"/>
          <w:i w:val="false"/>
          <w:color w:val="000000"/>
          <w:sz w:val="24"/>
        </w:rPr>
        <w:t> </w:t>
      </w:r>
      <w:r>
        <w:rPr>
          <w:rFonts w:ascii="Times New Roman" w:hAnsi="Times New Roman"/>
          <w:b w:val="false"/>
          <w:i/>
          <w:color w:val="000000"/>
          <w:sz w:val="24"/>
        </w:rPr>
        <w:t xml:space="preserve">Income tax of financial institutions in liquidation. </w:t>
      </w:r>
      <w:r>
        <w:rPr>
          <w:rFonts w:ascii="Times New Roman" w:hAnsi="Times New Roman"/>
          <w:b w:val="false"/>
          <w:i w:val="false"/>
          <w:color w:val="000000"/>
          <w:sz w:val="24"/>
        </w:rPr>
        <w:t>When a financial institution is in the process of liquidation, or in the hands of a receiver, the franchise tax returns must be made under oath or affirmation of the persons responsible for the conduct of the affairs of such financial institutions and must be filed at the same time and in the same manner as required of other financial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601.1(2)</w:t>
      </w:r>
      <w:r>
        <w:rPr>
          <w:rFonts w:ascii="Times New Roman" w:hAnsi="Times New Roman"/>
          <w:b w:val="false"/>
          <w:i w:val="false"/>
          <w:color w:val="000000"/>
          <w:sz w:val="24"/>
        </w:rPr>
        <w:t> </w:t>
      </w:r>
      <w:r>
        <w:rPr>
          <w:rFonts w:ascii="Times New Roman" w:hAnsi="Times New Roman"/>
          <w:b w:val="false"/>
          <w:i/>
          <w:color w:val="000000"/>
          <w:sz w:val="24"/>
        </w:rPr>
        <w:t xml:space="preserve">Franchise tax returns for financial institutions dissolved.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Financial institutions that have been dissolved during the tax year must file franchise tax returns for the period prior to dissolution that has not already been covered by previous returns. Officers and directors are responsible for the filing of the returns and for the payment of taxes, if any, for the audit period provided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Where a financial institution dissolves and disposes of its assets without making provision for the payment of its accrued Iowa franchise tax, liability for the tax follows the assets so distributed and upon failure to secure the unpaid amount, suit to collect the tax may be instituted against the stockholders and other persons receiving the property, to the extent of the property received, except bona fide purchasers or others as provided by law.</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
        <w:r>
          <w:rPr>
            <w:rStyle w:val="Hyperlink"/>
            <w:rFonts w:ascii="Times New Roman" w:hAnsi="Times New Roman"/>
            <w:b w:val="false"/>
            <w:i w:val="false"/>
            <w:color w:val="000000"/>
            <w:sz w:val="24"/>
          </w:rPr>
          <w:t>422.60</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422.61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701—601.2</w:t>
      </w:r>
      <w:r>
        <w:rPr>
          <w:rFonts w:ascii="Times New Roman" w:hAnsi="Times New Roman"/>
          <w:b/>
          <w:i w:val="false"/>
          <w:color w:val="000000"/>
          <w:sz w:val="24"/>
        </w:rPr>
        <w:t xml:space="preserve">(422) </w:t>
      </w:r>
      <w:r>
        <w:rPr>
          <w:rFonts w:ascii="Times New Roman" w:hAnsi="Times New Roman"/>
          <w:b/>
          <w:i w:val="false"/>
          <w:color w:val="000000"/>
          <w:sz w:val="24"/>
        </w:rPr>
        <w:t xml:space="preserve">Time and place for filing return.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601.2(1)</w:t>
      </w:r>
      <w:r>
        <w:rPr>
          <w:rFonts w:ascii="Times New Roman" w:hAnsi="Times New Roman"/>
          <w:b w:val="false"/>
          <w:i w:val="false"/>
          <w:color w:val="000000"/>
          <w:sz w:val="24"/>
        </w:rPr>
        <w:t> </w:t>
      </w:r>
      <w:r>
        <w:rPr>
          <w:rFonts w:ascii="Times New Roman" w:hAnsi="Times New Roman"/>
          <w:b w:val="false"/>
          <w:i/>
          <w:color w:val="000000"/>
          <w:sz w:val="24"/>
        </w:rPr>
        <w:t xml:space="preserve">Returns of financial institutions. </w:t>
      </w:r>
      <w:r>
        <w:rPr>
          <w:rFonts w:ascii="Times New Roman" w:hAnsi="Times New Roman"/>
          <w:b w:val="false"/>
          <w:i w:val="false"/>
          <w:color w:val="000000"/>
          <w:sz w:val="24"/>
        </w:rPr>
        <w:t xml:space="preserve">A return of income for all financial institutions must be filed on or before the delinquency date. Iowa Code section </w:t>
      </w:r>
      <w:hyperlink r:id="rId9">
        <w:r>
          <w:rPr>
            <w:rStyle w:val="Hyperlink"/>
            <w:rFonts w:ascii="Times New Roman" w:hAnsi="Times New Roman"/>
            <w:b w:val="false"/>
            <w:i w:val="false"/>
            <w:color w:val="000000"/>
            <w:sz w:val="24"/>
          </w:rPr>
          <w:t>421.9A</w:t>
        </w:r>
      </w:hyperlink>
      <w:r>
        <w:rPr>
          <w:rFonts w:ascii="Times New Roman" w:hAnsi="Times New Roman"/>
          <w:b w:val="false"/>
          <w:i w:val="false"/>
          <w:color w:val="000000"/>
          <w:sz w:val="24"/>
        </w:rPr>
        <w:t xml:space="preserve"> contains additional information on due dates that fall on a Saturday, Sunday, or holiday. If a return is placed in the mail, properly addressed and postage paid in ample time to reach the department on or before the delinquency date for filing, no penalty will attach should the return not be received until after that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601.2(2)</w:t>
      </w:r>
      <w:r>
        <w:rPr>
          <w:rFonts w:ascii="Times New Roman" w:hAnsi="Times New Roman"/>
          <w:b w:val="false"/>
          <w:i w:val="false"/>
          <w:color w:val="000000"/>
          <w:sz w:val="24"/>
        </w:rPr>
        <w:t> </w:t>
      </w:r>
      <w:r>
        <w:rPr>
          <w:rFonts w:ascii="Times New Roman" w:hAnsi="Times New Roman"/>
          <w:b w:val="false"/>
          <w:i/>
          <w:color w:val="000000"/>
          <w:sz w:val="24"/>
        </w:rPr>
        <w:t xml:space="preserve">Short period returns. </w:t>
      </w:r>
      <w:r>
        <w:rPr>
          <w:rFonts w:ascii="Times New Roman" w:hAnsi="Times New Roman"/>
          <w:b w:val="false"/>
          <w:i w:val="false"/>
          <w:color w:val="000000"/>
          <w:sz w:val="24"/>
        </w:rPr>
        <w:t>Where under a provision of the Internal Revenue Code, a financial institution is required to file a tax return for a period of less than 12 months, a short period Iowa franchise tax return must be filed for the same period. The delinquency date for the short period return is 45 days after the federal due date, not considering any federal extension of time to file.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0">
        <w:r>
          <w:rPr>
            <w:rStyle w:val="Hyperlink"/>
            <w:rFonts w:ascii="Times New Roman" w:hAnsi="Times New Roman"/>
            <w:b w:val="false"/>
            <w:i w:val="false"/>
            <w:color w:val="000000"/>
            <w:sz w:val="24"/>
          </w:rPr>
          <w:t>422.24</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422.62</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422.66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701—601.3</w:t>
      </w:r>
      <w:r>
        <w:rPr>
          <w:rFonts w:ascii="Times New Roman" w:hAnsi="Times New Roman"/>
          <w:b/>
          <w:i w:val="false"/>
          <w:color w:val="000000"/>
          <w:sz w:val="24"/>
        </w:rPr>
        <w:t xml:space="preserve">(422) </w:t>
      </w:r>
      <w:r>
        <w:rPr>
          <w:rFonts w:ascii="Times New Roman" w:hAnsi="Times New Roman"/>
          <w:b/>
          <w:i w:val="false"/>
          <w:color w:val="000000"/>
          <w:sz w:val="24"/>
        </w:rPr>
        <w:t xml:space="preserve">Form for filing.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601.3(1)</w:t>
      </w:r>
      <w:r>
        <w:rPr>
          <w:rFonts w:ascii="Times New Roman" w:hAnsi="Times New Roman"/>
          <w:b w:val="false"/>
          <w:i w:val="false"/>
          <w:color w:val="000000"/>
          <w:sz w:val="24"/>
        </w:rPr>
        <w:t> </w:t>
      </w:r>
      <w:r>
        <w:rPr>
          <w:rFonts w:ascii="Times New Roman" w:hAnsi="Times New Roman"/>
          <w:b w:val="false"/>
          <w:i/>
          <w:color w:val="000000"/>
          <w:sz w:val="24"/>
        </w:rPr>
        <w:t xml:space="preserve">Use and completeness of prescribed forms.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Returns shall be made by financial institutions on forms supplied by the department. Each question shall be answered and each direction complied with in the same manner as if the forms and instructions were embodied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Returns received that are not completed but merely state “see schedule attached” are not valid. This may result in the imposition of penalties and interest due to the return being filed after the due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601.3(2)</w:t>
      </w:r>
      <w:r>
        <w:rPr>
          <w:rFonts w:ascii="Times New Roman" w:hAnsi="Times New Roman"/>
          <w:b w:val="false"/>
          <w:i w:val="false"/>
          <w:color w:val="000000"/>
          <w:sz w:val="24"/>
        </w:rPr>
        <w:t> </w:t>
      </w:r>
      <w:r>
        <w:rPr>
          <w:rFonts w:ascii="Times New Roman" w:hAnsi="Times New Roman"/>
          <w:b w:val="false"/>
          <w:i/>
          <w:color w:val="000000"/>
          <w:sz w:val="24"/>
        </w:rPr>
        <w:t xml:space="preserve">Form for filing—financial institutions.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institutions as defined by Iowa Code section </w:t>
      </w:r>
      <w:hyperlink r:id="rId13">
        <w:r>
          <w:rPr>
            <w:rStyle w:val="Hyperlink"/>
            <w:rFonts w:ascii="Times New Roman" w:hAnsi="Times New Roman"/>
            <w:b w:val="false"/>
            <w:i w:val="false"/>
            <w:color w:val="000000"/>
            <w:sz w:val="24"/>
          </w:rPr>
          <w:t>422.61(1)</w:t>
        </w:r>
      </w:hyperlink>
      <w:r>
        <w:rPr>
          <w:rFonts w:ascii="Times New Roman" w:hAnsi="Times New Roman"/>
          <w:b w:val="false"/>
          <w:i w:val="false"/>
          <w:color w:val="000000"/>
          <w:sz w:val="24"/>
        </w:rPr>
        <w:t xml:space="preserve"> shall include a complete copy of their federal income tax return, including all applicable schedules as filed with the Internal Revenue Service, with the filing of their Iowa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financial institution whose income is included in a consolidated federal income tax return files an Iowa return, federal consolidating income statements as properly computed for federal income tax purposes showing the income and expenses of each member of the consolidated group are required together with any additional schedules required by the return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601.3(3)</w:t>
      </w:r>
      <w:r>
        <w:rPr>
          <w:rFonts w:ascii="Times New Roman" w:hAnsi="Times New Roman"/>
          <w:b w:val="false"/>
          <w:i w:val="false"/>
          <w:color w:val="000000"/>
          <w:sz w:val="24"/>
        </w:rPr>
        <w:t> </w:t>
      </w:r>
      <w:r>
        <w:rPr>
          <w:rFonts w:ascii="Times New Roman" w:hAnsi="Times New Roman"/>
          <w:b w:val="false"/>
          <w:i/>
          <w:color w:val="000000"/>
          <w:sz w:val="24"/>
        </w:rPr>
        <w:t xml:space="preserve">Amended returns. </w:t>
      </w:r>
      <w:r>
        <w:rPr>
          <w:rFonts w:ascii="Times New Roman" w:hAnsi="Times New Roman"/>
          <w:b w:val="false"/>
          <w:i w:val="false"/>
          <w:color w:val="000000"/>
          <w:sz w:val="24"/>
        </w:rPr>
        <w:t>If the amount of income reported to be federal net income or Iowa taxable income subject to franchise tax was erroneously stated on the Iowa return, or changed by Internal Revenue Service audit, or otherwise, the taxpayer shall file an amended Iowa return along with supporting schedules, to include the amended federal return and a copy of the federal revenue agent’s report, if applicable.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
        <w:r>
          <w:rPr>
            <w:rStyle w:val="Hyperlink"/>
            <w:rFonts w:ascii="Times New Roman" w:hAnsi="Times New Roman"/>
            <w:b w:val="false"/>
            <w:i w:val="false"/>
            <w:color w:val="000000"/>
            <w:sz w:val="24"/>
          </w:rPr>
          <w:t>422.62</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422.66</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422.73</w:t>
        </w:r>
      </w:hyperlink>
      <w:r>
        <w:rPr>
          <w:rFonts w:ascii="Times New Roman" w:hAnsi="Times New Roman"/>
          <w:b w:val="false"/>
          <w:i w:val="false"/>
          <w:color w:val="000000"/>
          <w:sz w:val="24"/>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ben.clough@iowa.gov" Type="http://schemas.openxmlformats.org/officeDocument/2006/relationships/hyperlink" Id="rId5"/>
    <Relationship TargetMode="External" Target="https://www.legis.iowa.gov/docs/ico/chapter/422.61.pdf" Type="http://schemas.openxmlformats.org/officeDocument/2006/relationships/hyperlink" Id="rId6"/>
    <Relationship TargetMode="External" Target="https://www.legis.iowa.gov/docs/ico/chapter/422.60.pdf" Type="http://schemas.openxmlformats.org/officeDocument/2006/relationships/hyperlink" Id="rId7"/>
    <Relationship TargetMode="External" Target="https://www.legis.iowa.gov/docs/ico/chapter/422.61.pdf" Type="http://schemas.openxmlformats.org/officeDocument/2006/relationships/hyperlink" Id="rId8"/>
    <Relationship TargetMode="External" Target="https://www.legis.iowa.gov/docs/ico/chapter/421.9A.pdf" Type="http://schemas.openxmlformats.org/officeDocument/2006/relationships/hyperlink" Id="rId9"/>
    <Relationship TargetMode="External" Target="https://www.legis.iowa.gov/docs/ico/chapter/422.24.pdf" Type="http://schemas.openxmlformats.org/officeDocument/2006/relationships/hyperlink" Id="rId10"/>
    <Relationship TargetMode="External" Target="https://www.legis.iowa.gov/docs/ico/chapter/422.62.pdf" Type="http://schemas.openxmlformats.org/officeDocument/2006/relationships/hyperlink" Id="rId11"/>
    <Relationship TargetMode="External" Target="https://www.legis.iowa.gov/docs/ico/chapter/422.66.pdf" Type="http://schemas.openxmlformats.org/officeDocument/2006/relationships/hyperlink" Id="rId12"/>
    <Relationship TargetMode="External" Target="https://www.legis.iowa.gov/docs/ico/chapter/422.61.pdf" Type="http://schemas.openxmlformats.org/officeDocument/2006/relationships/hyperlink" Id="rId13"/>
    <Relationship TargetMode="External" Target="https://www.legis.iowa.gov/docs/ico/chapter/422.62.pdf" Type="http://schemas.openxmlformats.org/officeDocument/2006/relationships/hyperlink" Id="rId14"/>
    <Relationship TargetMode="External" Target="https://www.legis.iowa.gov/docs/ico/chapter/422.66.pdf" Type="http://schemas.openxmlformats.org/officeDocument/2006/relationships/hyperlink" Id="rId15"/>
    <Relationship TargetMode="External" Target="https://www.legis.iowa.gov/docs/ico/chapter/422.73.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